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DC75" w14:textId="17ABF959" w:rsidR="0055759D" w:rsidRDefault="0055759D" w:rsidP="0055759D">
      <w:pPr>
        <w:jc w:val="center"/>
        <w:rPr>
          <w:b/>
          <w:bCs/>
        </w:rPr>
      </w:pPr>
      <w:r>
        <w:rPr>
          <w:b/>
          <w:bCs/>
        </w:rPr>
        <w:t>ASCC Arts and Humanities 1 Subcommittee</w:t>
      </w:r>
    </w:p>
    <w:p w14:paraId="27AF9BE5" w14:textId="3D49D02E" w:rsidR="0055759D" w:rsidRDefault="003F3E1B" w:rsidP="0055759D">
      <w:pPr>
        <w:jc w:val="center"/>
      </w:pPr>
      <w:r>
        <w:t>Approved</w:t>
      </w:r>
      <w:r w:rsidR="0055759D">
        <w:t xml:space="preserve"> Minutes</w:t>
      </w:r>
    </w:p>
    <w:p w14:paraId="203A5A3E" w14:textId="0C862CD2" w:rsidR="0055759D" w:rsidRDefault="0055759D" w:rsidP="0055759D">
      <w:r>
        <w:t>Tuesday, January 16</w:t>
      </w:r>
      <w:r w:rsidRPr="0055759D">
        <w:rPr>
          <w:vertAlign w:val="superscript"/>
        </w:rPr>
        <w:t>th</w:t>
      </w:r>
      <w:r>
        <w:t xml:space="preserve">, </w:t>
      </w:r>
      <w:proofErr w:type="gramStart"/>
      <w:r>
        <w:t>2024</w:t>
      </w:r>
      <w:proofErr w:type="gramEnd"/>
      <w:r>
        <w:tab/>
      </w:r>
      <w:r>
        <w:tab/>
      </w:r>
      <w:r>
        <w:tab/>
      </w:r>
      <w:r>
        <w:tab/>
      </w:r>
      <w:r>
        <w:tab/>
      </w:r>
      <w:r>
        <w:tab/>
      </w:r>
      <w:r>
        <w:tab/>
        <w:t xml:space="preserve">         12:30PM – 2:00PM</w:t>
      </w:r>
    </w:p>
    <w:p w14:paraId="43CAB514" w14:textId="1265E99B" w:rsidR="0055759D" w:rsidRDefault="0055759D" w:rsidP="0055759D">
      <w:proofErr w:type="spellStart"/>
      <w:r>
        <w:t>CarmenZoom</w:t>
      </w:r>
      <w:proofErr w:type="spellEnd"/>
    </w:p>
    <w:p w14:paraId="512189B1" w14:textId="77777777" w:rsidR="0055759D" w:rsidRDefault="0055759D" w:rsidP="0055759D"/>
    <w:p w14:paraId="7FAECA00" w14:textId="69FC68B0" w:rsidR="0055759D" w:rsidRDefault="0055759D" w:rsidP="0055759D">
      <w:r>
        <w:rPr>
          <w:b/>
          <w:bCs/>
        </w:rPr>
        <w:t xml:space="preserve">Attendees: </w:t>
      </w:r>
      <w:r>
        <w:t>Bitters, Hedgecoth, Hilty, Smith, Staley, Troyan, Vankeerbergen</w:t>
      </w:r>
    </w:p>
    <w:p w14:paraId="77CF67AC" w14:textId="77777777" w:rsidR="0055759D" w:rsidRDefault="0055759D" w:rsidP="0055759D"/>
    <w:p w14:paraId="40118650" w14:textId="3056F83B" w:rsidR="0055759D" w:rsidRDefault="0055759D" w:rsidP="0055759D">
      <w:pPr>
        <w:pStyle w:val="ListParagraph"/>
        <w:numPr>
          <w:ilvl w:val="0"/>
          <w:numId w:val="1"/>
        </w:numPr>
      </w:pPr>
      <w:r>
        <w:t>Approval of 11/20/2023 &amp; 12/04/2023 Minutes</w:t>
      </w:r>
    </w:p>
    <w:p w14:paraId="5B6E764C" w14:textId="2FCEA849" w:rsidR="0055759D" w:rsidRDefault="0055759D" w:rsidP="0055759D">
      <w:pPr>
        <w:pStyle w:val="ListParagraph"/>
        <w:numPr>
          <w:ilvl w:val="1"/>
          <w:numId w:val="1"/>
        </w:numPr>
      </w:pPr>
      <w:r>
        <w:t xml:space="preserve">Troyan, Hedgecoth, </w:t>
      </w:r>
      <w:r>
        <w:rPr>
          <w:b/>
          <w:bCs/>
        </w:rPr>
        <w:t xml:space="preserve">unanimously </w:t>
      </w:r>
      <w:proofErr w:type="gramStart"/>
      <w:r>
        <w:rPr>
          <w:b/>
          <w:bCs/>
        </w:rPr>
        <w:t>approved</w:t>
      </w:r>
      <w:proofErr w:type="gramEnd"/>
      <w:r>
        <w:rPr>
          <w:b/>
          <w:bCs/>
        </w:rPr>
        <w:t xml:space="preserve"> </w:t>
      </w:r>
    </w:p>
    <w:p w14:paraId="6AAC4BA1" w14:textId="29B7D07F" w:rsidR="0055759D" w:rsidRDefault="0055759D" w:rsidP="0055759D">
      <w:pPr>
        <w:pStyle w:val="ListParagraph"/>
        <w:numPr>
          <w:ilvl w:val="0"/>
          <w:numId w:val="1"/>
        </w:numPr>
      </w:pPr>
      <w:r>
        <w:t xml:space="preserve">English 2276 (existing course with GEL Cultures and Ideas &amp; GEN theme: Citizenship for a Diverse and Just World; requesting 100% DL) </w:t>
      </w:r>
    </w:p>
    <w:p w14:paraId="52078F6E" w14:textId="2A0223C2" w:rsidR="0055759D" w:rsidRPr="0055759D" w:rsidRDefault="0055759D" w:rsidP="0055759D">
      <w:pPr>
        <w:pStyle w:val="ListParagraph"/>
        <w:numPr>
          <w:ilvl w:val="1"/>
          <w:numId w:val="1"/>
        </w:numPr>
      </w:pPr>
      <w:r>
        <w:rPr>
          <w:b/>
          <w:bCs/>
        </w:rPr>
        <w:t xml:space="preserve">The Subcommittee asks that the course syllabus include the legacy General Education Goals, ELOs, and explanatory paragraph for the category which the course is approved within. As a reminder, English 2276 is approved for GEL category Cultures and Ideas and the Goals and ELOs can be found on the </w:t>
      </w:r>
      <w:hyperlink r:id="rId5" w:history="1">
        <w:r w:rsidRPr="0055759D">
          <w:rPr>
            <w:rStyle w:val="Hyperlink"/>
            <w:b/>
            <w:bCs/>
          </w:rPr>
          <w:t>ASC Curriculum and Assessment Services website here</w:t>
        </w:r>
      </w:hyperlink>
      <w:r>
        <w:rPr>
          <w:b/>
          <w:bCs/>
        </w:rPr>
        <w:t xml:space="preserve">. </w:t>
      </w:r>
    </w:p>
    <w:p w14:paraId="5E4AB2D2" w14:textId="6B1D69EE" w:rsidR="0055759D" w:rsidRPr="00676A67" w:rsidRDefault="0055759D" w:rsidP="0055759D">
      <w:pPr>
        <w:pStyle w:val="ListParagraph"/>
        <w:numPr>
          <w:ilvl w:val="1"/>
          <w:numId w:val="1"/>
        </w:numPr>
      </w:pPr>
      <w:r>
        <w:rPr>
          <w:b/>
          <w:bCs/>
        </w:rPr>
        <w:t xml:space="preserve">The Subcommittee asks that the course syllabus include the full Goals and ELOs for the new General Education Theme: Citizenship for a Diverse and Just World. Currently, on pages </w:t>
      </w:r>
      <w:r w:rsidR="007C5426">
        <w:rPr>
          <w:b/>
          <w:bCs/>
        </w:rPr>
        <w:t>3</w:t>
      </w:r>
      <w:r>
        <w:rPr>
          <w:b/>
          <w:bCs/>
        </w:rPr>
        <w:t xml:space="preserve">-5 of the course syllabus, the information regarding the Citizenship category has been customized for the course content. It is a requirement of all General Education syllabi to have the Goals and ELOs for the GE categories they are approved </w:t>
      </w:r>
      <w:r w:rsidR="00633988">
        <w:rPr>
          <w:b/>
          <w:bCs/>
        </w:rPr>
        <w:t xml:space="preserve">within </w:t>
      </w:r>
      <w:r>
        <w:rPr>
          <w:b/>
          <w:bCs/>
        </w:rPr>
        <w:t xml:space="preserve">exactly as they were approved by the Office of Academic Affairs. The GEN Goals and ELOs can be found in an easy to copy-and-paste format on the </w:t>
      </w:r>
      <w:hyperlink r:id="rId6" w:history="1">
        <w:r w:rsidRPr="0055759D">
          <w:rPr>
            <w:rStyle w:val="Hyperlink"/>
            <w:b/>
            <w:bCs/>
          </w:rPr>
          <w:t>ASC Curriculum and Assessment services website here</w:t>
        </w:r>
      </w:hyperlink>
      <w:r>
        <w:rPr>
          <w:b/>
          <w:bCs/>
        </w:rPr>
        <w:t xml:space="preserve">. </w:t>
      </w:r>
    </w:p>
    <w:p w14:paraId="49655D35" w14:textId="35BDD086" w:rsidR="00676A67" w:rsidRDefault="00676A67" w:rsidP="0055759D">
      <w:pPr>
        <w:pStyle w:val="ListParagraph"/>
        <w:numPr>
          <w:ilvl w:val="1"/>
          <w:numId w:val="1"/>
        </w:numPr>
      </w:pPr>
      <w:r>
        <w:t xml:space="preserve">Hedgecoth, Troyan, </w:t>
      </w:r>
      <w:r>
        <w:rPr>
          <w:b/>
          <w:bCs/>
        </w:rPr>
        <w:t xml:space="preserve">unanimously approved </w:t>
      </w:r>
      <w:r>
        <w:t xml:space="preserve">with </w:t>
      </w:r>
      <w:r>
        <w:rPr>
          <w:b/>
          <w:bCs/>
        </w:rPr>
        <w:t xml:space="preserve">two contingencies </w:t>
      </w:r>
      <w:r>
        <w:t xml:space="preserve">(in bold above) </w:t>
      </w:r>
    </w:p>
    <w:p w14:paraId="59BC62B9" w14:textId="18C37727" w:rsidR="00676A67" w:rsidRDefault="00676A67" w:rsidP="00676A67">
      <w:pPr>
        <w:pStyle w:val="ListParagraph"/>
        <w:numPr>
          <w:ilvl w:val="0"/>
          <w:numId w:val="1"/>
        </w:numPr>
      </w:pPr>
      <w:r>
        <w:t xml:space="preserve">Classics 1101 (existing course with GEL Literature, GEL Diversity – Global Studies, and GEN Foundation: Literary, Visual, and Performing Arts; requesting 100% DL) </w:t>
      </w:r>
    </w:p>
    <w:p w14:paraId="786D9EE0" w14:textId="517BDA9B" w:rsidR="00676A67" w:rsidRPr="0055759D" w:rsidRDefault="00676A67" w:rsidP="00676A67">
      <w:pPr>
        <w:pStyle w:val="ListParagraph"/>
        <w:numPr>
          <w:ilvl w:val="1"/>
          <w:numId w:val="1"/>
        </w:numPr>
      </w:pPr>
      <w:r>
        <w:rPr>
          <w:b/>
          <w:bCs/>
        </w:rPr>
        <w:t xml:space="preserve">The Subcommittee asks that the course syllabus include the legacy General Education Goals, ELOs, and explanatory paragraph for the categories which the course is approved within. As a reminder, Classics 1101 is approved for GEL Literature and GEL Diversity – Global Studies, and the Goals and ELOs can be found on the </w:t>
      </w:r>
      <w:hyperlink r:id="rId7" w:history="1">
        <w:r w:rsidRPr="0055759D">
          <w:rPr>
            <w:rStyle w:val="Hyperlink"/>
            <w:b/>
            <w:bCs/>
          </w:rPr>
          <w:t>ASC Curriculum and Assessment Services website here</w:t>
        </w:r>
      </w:hyperlink>
      <w:r>
        <w:rPr>
          <w:b/>
          <w:bCs/>
        </w:rPr>
        <w:t xml:space="preserve">. </w:t>
      </w:r>
    </w:p>
    <w:p w14:paraId="3A58FF4E" w14:textId="7187721A" w:rsidR="00676A67" w:rsidRPr="00676A67" w:rsidRDefault="00676A67" w:rsidP="00676A67">
      <w:pPr>
        <w:pStyle w:val="ListParagraph"/>
        <w:numPr>
          <w:ilvl w:val="1"/>
          <w:numId w:val="1"/>
        </w:numPr>
      </w:pPr>
      <w:r>
        <w:rPr>
          <w:i/>
          <w:iCs/>
        </w:rPr>
        <w:t>The Subcommittee recommends that the instructor consider additional ways of increasing the amount of studen</w:t>
      </w:r>
      <w:r w:rsidR="00633988">
        <w:rPr>
          <w:i/>
          <w:iCs/>
        </w:rPr>
        <w:t>t/</w:t>
      </w:r>
      <w:r>
        <w:rPr>
          <w:i/>
          <w:iCs/>
        </w:rPr>
        <w:t xml:space="preserve">peer-to-peer interaction within the course, given the course’s asynchronous nature. </w:t>
      </w:r>
    </w:p>
    <w:p w14:paraId="54603B9D" w14:textId="2C5424FA" w:rsidR="00676A67" w:rsidRDefault="00676A67" w:rsidP="00676A67">
      <w:pPr>
        <w:pStyle w:val="ListParagraph"/>
        <w:numPr>
          <w:ilvl w:val="1"/>
          <w:numId w:val="1"/>
        </w:numPr>
      </w:pPr>
      <w:r>
        <w:t xml:space="preserve">Hedgecoth, Troyan,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3BBB0709" w14:textId="758454CD" w:rsidR="00676A67" w:rsidRDefault="00676A67" w:rsidP="00676A67">
      <w:pPr>
        <w:pStyle w:val="ListParagraph"/>
        <w:numPr>
          <w:ilvl w:val="0"/>
          <w:numId w:val="1"/>
        </w:numPr>
      </w:pPr>
      <w:r>
        <w:t xml:space="preserve">Spanish 4558 (new course) </w:t>
      </w:r>
    </w:p>
    <w:p w14:paraId="161DDA65" w14:textId="41CCED8E" w:rsidR="00676A67" w:rsidRPr="001315BD" w:rsidRDefault="001315BD" w:rsidP="00676A67">
      <w:pPr>
        <w:pStyle w:val="ListParagraph"/>
        <w:numPr>
          <w:ilvl w:val="1"/>
          <w:numId w:val="1"/>
        </w:numPr>
      </w:pPr>
      <w:r>
        <w:rPr>
          <w:i/>
          <w:iCs/>
        </w:rPr>
        <w:t xml:space="preserve">The Subcommittee recommends correcting the small typo on page 3 of the syllabus, underneath the explanation for the individual presentations. Currently, it states that this </w:t>
      </w:r>
      <w:r>
        <w:rPr>
          <w:i/>
          <w:iCs/>
        </w:rPr>
        <w:lastRenderedPageBreak/>
        <w:t xml:space="preserve">assignment is worth 20% of the final grade, but earlier in the syllabus, it states that this assignment is worth 15% of the final grade. </w:t>
      </w:r>
    </w:p>
    <w:p w14:paraId="205D8D61" w14:textId="1666DFED" w:rsidR="001315BD" w:rsidRPr="006E3EC7" w:rsidRDefault="001315BD" w:rsidP="00676A67">
      <w:pPr>
        <w:pStyle w:val="ListParagraph"/>
        <w:numPr>
          <w:ilvl w:val="1"/>
          <w:numId w:val="1"/>
        </w:numPr>
      </w:pPr>
      <w:r>
        <w:rPr>
          <w:i/>
          <w:iCs/>
        </w:rPr>
        <w:t xml:space="preserve">The Subcommittee recommends removing the reference to Moodle on page 4 of the syllabus, as Ohio State’s official LMS is </w:t>
      </w:r>
      <w:proofErr w:type="spellStart"/>
      <w:proofErr w:type="gramStart"/>
      <w:r>
        <w:rPr>
          <w:i/>
          <w:iCs/>
        </w:rPr>
        <w:t>CarmenCanvas</w:t>
      </w:r>
      <w:proofErr w:type="spellEnd"/>
      <w:proofErr w:type="gramEnd"/>
      <w:r>
        <w:rPr>
          <w:i/>
          <w:iCs/>
        </w:rPr>
        <w:t xml:space="preserve"> and instructors must use that platform for their courses. </w:t>
      </w:r>
    </w:p>
    <w:p w14:paraId="2AE4E1D4" w14:textId="7EC39D81" w:rsidR="0055759D" w:rsidRDefault="00567C03" w:rsidP="00567C03">
      <w:pPr>
        <w:pStyle w:val="ListParagraph"/>
        <w:numPr>
          <w:ilvl w:val="1"/>
          <w:numId w:val="1"/>
        </w:numPr>
        <w:spacing w:line="256" w:lineRule="auto"/>
        <w:rPr>
          <w:i/>
          <w:iCs/>
        </w:rPr>
      </w:pPr>
      <w:r>
        <w:rPr>
          <w:i/>
          <w:iCs/>
        </w:rPr>
        <w:t xml:space="preserve">The Subcommittee offers the friendly recommendation to update the Mental Health statement and Title IX statement within the course syllabus. The most up-to-date </w:t>
      </w:r>
      <w:hyperlink r:id="rId8" w:history="1">
        <w:r>
          <w:rPr>
            <w:rStyle w:val="Hyperlink"/>
            <w:i/>
            <w:iCs/>
          </w:rPr>
          <w:t>statements can be found here</w:t>
        </w:r>
      </w:hyperlink>
      <w:r>
        <w:rPr>
          <w:i/>
          <w:iCs/>
        </w:rPr>
        <w:t xml:space="preserve"> on the ASC Curriculum and Assessment website.  </w:t>
      </w:r>
    </w:p>
    <w:p w14:paraId="62A80568" w14:textId="0116B276" w:rsidR="00567C03" w:rsidRPr="00567C03" w:rsidRDefault="00567C03" w:rsidP="00567C03">
      <w:pPr>
        <w:pStyle w:val="ListParagraph"/>
        <w:numPr>
          <w:ilvl w:val="1"/>
          <w:numId w:val="1"/>
        </w:numPr>
        <w:spacing w:line="256" w:lineRule="auto"/>
        <w:rPr>
          <w:i/>
          <w:iCs/>
        </w:rPr>
      </w:pPr>
      <w:r>
        <w:t xml:space="preserve">Hedgecoth, Troyan, </w:t>
      </w:r>
      <w:r>
        <w:rPr>
          <w:b/>
          <w:bCs/>
        </w:rPr>
        <w:t xml:space="preserve">unanimously approved </w:t>
      </w:r>
      <w:r>
        <w:t xml:space="preserve">with </w:t>
      </w:r>
      <w:r>
        <w:rPr>
          <w:i/>
          <w:iCs/>
        </w:rPr>
        <w:t xml:space="preserve">three recommendations </w:t>
      </w:r>
      <w:r>
        <w:t xml:space="preserve">(in italics above) </w:t>
      </w:r>
    </w:p>
    <w:p w14:paraId="5EC961B9" w14:textId="5D0FBB12" w:rsidR="00567C03" w:rsidRDefault="00567C03" w:rsidP="00567C03">
      <w:pPr>
        <w:pStyle w:val="ListParagraph"/>
        <w:numPr>
          <w:ilvl w:val="0"/>
          <w:numId w:val="1"/>
        </w:numPr>
        <w:spacing w:line="256" w:lineRule="auto"/>
      </w:pPr>
      <w:r>
        <w:t xml:space="preserve">History of Art 3050 (new course) </w:t>
      </w:r>
    </w:p>
    <w:p w14:paraId="731A1C96" w14:textId="18777EBC" w:rsidR="00567C03" w:rsidRPr="00567C03" w:rsidRDefault="00567C03" w:rsidP="00567C03">
      <w:pPr>
        <w:pStyle w:val="ListParagraph"/>
        <w:numPr>
          <w:ilvl w:val="1"/>
          <w:numId w:val="1"/>
        </w:numPr>
        <w:spacing w:line="256" w:lineRule="auto"/>
      </w:pPr>
      <w:r>
        <w:rPr>
          <w:i/>
          <w:iCs/>
        </w:rPr>
        <w:t>The Subcommittee recommends providing further clarity within the course schedule that details to students their exact expectations each week. While they recognize that topics are mentioned, they believe it would be beneficial for students to see, in greater detail, how they will engage more deeply on</w:t>
      </w:r>
      <w:r w:rsidR="00633988">
        <w:rPr>
          <w:i/>
          <w:iCs/>
        </w:rPr>
        <w:t xml:space="preserve"> these</w:t>
      </w:r>
      <w:r>
        <w:rPr>
          <w:i/>
          <w:iCs/>
        </w:rPr>
        <w:t xml:space="preserve"> topics. </w:t>
      </w:r>
    </w:p>
    <w:p w14:paraId="7B1616CA" w14:textId="77777777" w:rsidR="00567C03" w:rsidRDefault="00567C03" w:rsidP="00567C03">
      <w:pPr>
        <w:pStyle w:val="ListParagraph"/>
        <w:numPr>
          <w:ilvl w:val="1"/>
          <w:numId w:val="1"/>
        </w:numPr>
        <w:spacing w:line="256" w:lineRule="auto"/>
        <w:rPr>
          <w:i/>
          <w:iCs/>
        </w:rPr>
      </w:pPr>
      <w:r>
        <w:rPr>
          <w:i/>
          <w:iCs/>
        </w:rPr>
        <w:t xml:space="preserve">The Subcommittee offers the friendly recommendation to update the Mental Health statement and Title IX statement within the course syllabus. The most up-to-date </w:t>
      </w:r>
      <w:hyperlink r:id="rId9" w:history="1">
        <w:r>
          <w:rPr>
            <w:rStyle w:val="Hyperlink"/>
            <w:i/>
            <w:iCs/>
          </w:rPr>
          <w:t>statements can be found here</w:t>
        </w:r>
      </w:hyperlink>
      <w:r>
        <w:rPr>
          <w:i/>
          <w:iCs/>
        </w:rPr>
        <w:t xml:space="preserve"> on the ASC Curriculum and Assessment website.  </w:t>
      </w:r>
    </w:p>
    <w:p w14:paraId="0BEE60A4" w14:textId="734F1223" w:rsidR="00567C03" w:rsidRDefault="00567C03" w:rsidP="00567C03">
      <w:pPr>
        <w:pStyle w:val="ListParagraph"/>
        <w:numPr>
          <w:ilvl w:val="1"/>
          <w:numId w:val="1"/>
        </w:numPr>
        <w:spacing w:line="256" w:lineRule="auto"/>
      </w:pPr>
      <w:r>
        <w:t xml:space="preserve">Hedgecoth, Troyan, </w:t>
      </w:r>
      <w:r>
        <w:rPr>
          <w:b/>
          <w:bCs/>
        </w:rPr>
        <w:t xml:space="preserve">unanimously approved </w:t>
      </w:r>
      <w:r>
        <w:t xml:space="preserve">with </w:t>
      </w:r>
      <w:r>
        <w:rPr>
          <w:i/>
          <w:iCs/>
        </w:rPr>
        <w:t xml:space="preserve">two recommendations </w:t>
      </w:r>
      <w:r>
        <w:t xml:space="preserve">(in italics above) </w:t>
      </w:r>
    </w:p>
    <w:p w14:paraId="7CF0B64A" w14:textId="27F6E147" w:rsidR="00567C03" w:rsidRDefault="00567C03" w:rsidP="00567C03">
      <w:pPr>
        <w:pStyle w:val="ListParagraph"/>
        <w:numPr>
          <w:ilvl w:val="0"/>
          <w:numId w:val="1"/>
        </w:numPr>
        <w:spacing w:line="256" w:lineRule="auto"/>
      </w:pPr>
      <w:r>
        <w:t xml:space="preserve">Classics and History 3224 (new courses requesting GEN Theme: Citizenship for a Diverse and Just World &amp; GEN Theme: Traditions, Cultures, and Transformations) </w:t>
      </w:r>
    </w:p>
    <w:p w14:paraId="6DB189C3" w14:textId="41BE5C60" w:rsidR="00567C03" w:rsidRPr="00885947" w:rsidRDefault="00885947" w:rsidP="00567C03">
      <w:pPr>
        <w:pStyle w:val="ListParagraph"/>
        <w:numPr>
          <w:ilvl w:val="1"/>
          <w:numId w:val="1"/>
        </w:numPr>
        <w:spacing w:line="256" w:lineRule="auto"/>
      </w:pPr>
      <w:r>
        <w:rPr>
          <w:b/>
          <w:bCs/>
        </w:rPr>
        <w:t xml:space="preserve">The Subcommittee asks that a grade percentage breakdown be added to the course syllabus, as this is a requirement of syllabi within the College of Arts and Sciences. For additional information, please see the </w:t>
      </w:r>
      <w:hyperlink r:id="rId10" w:history="1">
        <w:r w:rsidRPr="00885947">
          <w:rPr>
            <w:rStyle w:val="Hyperlink"/>
            <w:b/>
            <w:bCs/>
          </w:rPr>
          <w:t>Syllabus Elements page on the ASC Curriculum and Assessment Services website here</w:t>
        </w:r>
      </w:hyperlink>
      <w:r>
        <w:rPr>
          <w:b/>
          <w:bCs/>
        </w:rPr>
        <w:t xml:space="preserve">. </w:t>
      </w:r>
    </w:p>
    <w:p w14:paraId="76D40191" w14:textId="2DAD4795" w:rsidR="00885947" w:rsidRPr="00240662" w:rsidRDefault="00885947" w:rsidP="00567C03">
      <w:pPr>
        <w:pStyle w:val="ListParagraph"/>
        <w:numPr>
          <w:ilvl w:val="1"/>
          <w:numId w:val="1"/>
        </w:numPr>
        <w:spacing w:line="256" w:lineRule="auto"/>
      </w:pPr>
      <w:r>
        <w:rPr>
          <w:b/>
          <w:bCs/>
        </w:rPr>
        <w:t xml:space="preserve">The Subcommittee asks that the rubric </w:t>
      </w:r>
      <w:r w:rsidR="00240662">
        <w:rPr>
          <w:b/>
          <w:bCs/>
        </w:rPr>
        <w:t xml:space="preserve">(as </w:t>
      </w:r>
      <w:r>
        <w:rPr>
          <w:b/>
          <w:bCs/>
        </w:rPr>
        <w:t>provided on page</w:t>
      </w:r>
      <w:r w:rsidR="00240662">
        <w:rPr>
          <w:b/>
          <w:bCs/>
        </w:rPr>
        <w:t xml:space="preserve">s 7-8 of the course syllabus) for the reflections and final essay be clarified. Currently, it is not possible for a student to determine how they earn their grade on these assignments based upon the rubric. For example, if a </w:t>
      </w:r>
      <w:r w:rsidR="00633988">
        <w:rPr>
          <w:b/>
          <w:bCs/>
        </w:rPr>
        <w:t>student</w:t>
      </w:r>
      <w:r w:rsidR="00240662">
        <w:rPr>
          <w:b/>
          <w:bCs/>
        </w:rPr>
        <w:t xml:space="preserve"> earns an A for title, C for Grammar and style, C for argument, B for Facts and opinions, B for citations, and A for length, what would the final grade be for the assignment? They recommend adding numeric values to the rubric that correspond to the course assignments to better allow students to both understand their grade but also </w:t>
      </w:r>
      <w:r w:rsidR="00633988">
        <w:rPr>
          <w:b/>
          <w:bCs/>
        </w:rPr>
        <w:t xml:space="preserve">understand </w:t>
      </w:r>
      <w:r w:rsidR="00240662">
        <w:rPr>
          <w:b/>
          <w:bCs/>
        </w:rPr>
        <w:t xml:space="preserve">the feedback provided based upon this rubric. </w:t>
      </w:r>
    </w:p>
    <w:p w14:paraId="33B54799" w14:textId="066421A3" w:rsidR="00240662" w:rsidRPr="00240662" w:rsidRDefault="00240662" w:rsidP="00567C03">
      <w:pPr>
        <w:pStyle w:val="ListParagraph"/>
        <w:numPr>
          <w:ilvl w:val="1"/>
          <w:numId w:val="1"/>
        </w:numPr>
        <w:spacing w:line="256" w:lineRule="auto"/>
      </w:pPr>
      <w:r>
        <w:rPr>
          <w:b/>
          <w:bCs/>
        </w:rPr>
        <w:t xml:space="preserve">For the Classics version of the course, an exclusion of History 3224 needs to be added in </w:t>
      </w:r>
      <w:r w:rsidR="00633988">
        <w:rPr>
          <w:b/>
          <w:bCs/>
        </w:rPr>
        <w:t xml:space="preserve">the </w:t>
      </w:r>
      <w:r>
        <w:rPr>
          <w:b/>
          <w:bCs/>
        </w:rPr>
        <w:t>curriculum.osu.edu</w:t>
      </w:r>
      <w:r w:rsidR="00633988">
        <w:rPr>
          <w:b/>
          <w:bCs/>
        </w:rPr>
        <w:t xml:space="preserve"> form</w:t>
      </w:r>
      <w:r>
        <w:rPr>
          <w:b/>
          <w:bCs/>
        </w:rPr>
        <w:t xml:space="preserve">. </w:t>
      </w:r>
    </w:p>
    <w:p w14:paraId="5F513D13" w14:textId="77777777" w:rsidR="00240662" w:rsidRPr="00E53B15" w:rsidRDefault="00240662" w:rsidP="00240662">
      <w:pPr>
        <w:pStyle w:val="ListParagraph"/>
        <w:numPr>
          <w:ilvl w:val="1"/>
          <w:numId w:val="1"/>
        </w:numPr>
      </w:pPr>
      <w:r>
        <w:rPr>
          <w:b/>
          <w:bCs/>
        </w:rPr>
        <w:t xml:space="preserve">The Arts and Sciences Curriculum Committee recently updated their list of required syllabus statements to include a statement on religious accommodations. This new, required statement is a result of a directive by the Executive Vice President and Provost and </w:t>
      </w:r>
      <w:hyperlink r:id="rId11"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770FAB94" w14:textId="07A15133" w:rsidR="00240662" w:rsidRPr="00240662" w:rsidRDefault="00240662" w:rsidP="00567C03">
      <w:pPr>
        <w:pStyle w:val="ListParagraph"/>
        <w:numPr>
          <w:ilvl w:val="1"/>
          <w:numId w:val="1"/>
        </w:numPr>
        <w:spacing w:line="256" w:lineRule="auto"/>
      </w:pPr>
      <w:r>
        <w:rPr>
          <w:b/>
          <w:bCs/>
        </w:rPr>
        <w:t xml:space="preserve">The Subcommittee asks that the required Academic Misconduct statement be added to the course syllabus, as the statement on pages 9-10 does not include the required </w:t>
      </w:r>
      <w:r>
        <w:rPr>
          <w:b/>
          <w:bCs/>
        </w:rPr>
        <w:lastRenderedPageBreak/>
        <w:t xml:space="preserve">language. Please see the </w:t>
      </w:r>
      <w:hyperlink r:id="rId12" w:history="1">
        <w:r w:rsidRPr="00240662">
          <w:rPr>
            <w:rStyle w:val="Hyperlink"/>
            <w:b/>
            <w:bCs/>
          </w:rPr>
          <w:t>Syllabus Elements page on the ASC Curriculum and Assessment Services website</w:t>
        </w:r>
      </w:hyperlink>
      <w:r>
        <w:rPr>
          <w:b/>
          <w:bCs/>
        </w:rPr>
        <w:t xml:space="preserve"> for the required Academic Misconduct statement in an easy to copy-and-paste format. </w:t>
      </w:r>
    </w:p>
    <w:p w14:paraId="40AC74A7" w14:textId="590D70B8" w:rsidR="00240662" w:rsidRDefault="00240662" w:rsidP="00567C03">
      <w:pPr>
        <w:pStyle w:val="ListParagraph"/>
        <w:numPr>
          <w:ilvl w:val="1"/>
          <w:numId w:val="1"/>
        </w:numPr>
        <w:spacing w:line="256" w:lineRule="auto"/>
      </w:pPr>
      <w:r>
        <w:t xml:space="preserve">Hedgecoth, Troyan, </w:t>
      </w:r>
      <w:r>
        <w:rPr>
          <w:b/>
          <w:bCs/>
        </w:rPr>
        <w:t xml:space="preserve">unanimously approved </w:t>
      </w:r>
      <w:r>
        <w:t xml:space="preserve">with </w:t>
      </w:r>
      <w:r>
        <w:rPr>
          <w:b/>
          <w:bCs/>
        </w:rPr>
        <w:t xml:space="preserve">five contingencies </w:t>
      </w:r>
      <w:r>
        <w:t xml:space="preserve">(in bold above) </w:t>
      </w:r>
    </w:p>
    <w:p w14:paraId="70489A6F" w14:textId="3EC07290" w:rsidR="00240662" w:rsidRDefault="00240662" w:rsidP="00240662">
      <w:pPr>
        <w:pStyle w:val="ListParagraph"/>
        <w:numPr>
          <w:ilvl w:val="0"/>
          <w:numId w:val="1"/>
        </w:numPr>
        <w:spacing w:line="256" w:lineRule="auto"/>
      </w:pPr>
      <w:r>
        <w:t xml:space="preserve">Classics 6001 (new course) </w:t>
      </w:r>
    </w:p>
    <w:p w14:paraId="7AF838A8" w14:textId="7BE8D222" w:rsidR="00240662" w:rsidRPr="00567C03" w:rsidRDefault="00240662" w:rsidP="00240662">
      <w:pPr>
        <w:pStyle w:val="ListParagraph"/>
        <w:numPr>
          <w:ilvl w:val="1"/>
          <w:numId w:val="1"/>
        </w:numPr>
        <w:spacing w:line="256" w:lineRule="auto"/>
      </w:pPr>
      <w:r>
        <w:t xml:space="preserve">Hedgecoth, Troyan, </w:t>
      </w:r>
      <w:r>
        <w:rPr>
          <w:b/>
          <w:bCs/>
        </w:rPr>
        <w:t xml:space="preserve">unanimously </w:t>
      </w:r>
      <w:proofErr w:type="gramStart"/>
      <w:r>
        <w:rPr>
          <w:b/>
          <w:bCs/>
        </w:rPr>
        <w:t>approved</w:t>
      </w:r>
      <w:proofErr w:type="gramEnd"/>
      <w:r>
        <w:rPr>
          <w:b/>
          <w:bCs/>
        </w:rPr>
        <w:t xml:space="preserve"> </w:t>
      </w:r>
    </w:p>
    <w:p w14:paraId="1CA96046" w14:textId="77777777" w:rsidR="0055759D" w:rsidRPr="0055759D" w:rsidRDefault="0055759D" w:rsidP="0055759D"/>
    <w:sectPr w:rsidR="0055759D" w:rsidRPr="0055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70323"/>
    <w:multiLevelType w:val="hybridMultilevel"/>
    <w:tmpl w:val="AA4802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4647E"/>
    <w:multiLevelType w:val="hybridMultilevel"/>
    <w:tmpl w:val="6FE29A9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205F9"/>
    <w:multiLevelType w:val="hybridMultilevel"/>
    <w:tmpl w:val="6308BB6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572681">
    <w:abstractNumId w:val="2"/>
  </w:num>
  <w:num w:numId="2" w16cid:durableId="865144590">
    <w:abstractNumId w:val="1"/>
  </w:num>
  <w:num w:numId="3" w16cid:durableId="1401636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9D"/>
    <w:rsid w:val="001315BD"/>
    <w:rsid w:val="00240662"/>
    <w:rsid w:val="003F3E1B"/>
    <w:rsid w:val="0055759D"/>
    <w:rsid w:val="00567C03"/>
    <w:rsid w:val="00633988"/>
    <w:rsid w:val="00676A67"/>
    <w:rsid w:val="006E3EC7"/>
    <w:rsid w:val="007C5426"/>
    <w:rsid w:val="00885947"/>
    <w:rsid w:val="00AB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755E"/>
  <w15:chartTrackingRefBased/>
  <w15:docId w15:val="{A3C32FAD-48D3-4EBE-9390-9A120C28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9D"/>
    <w:pPr>
      <w:ind w:left="720"/>
      <w:contextualSpacing/>
    </w:pPr>
  </w:style>
  <w:style w:type="character" w:styleId="Hyperlink">
    <w:name w:val="Hyperlink"/>
    <w:basedOn w:val="DefaultParagraphFont"/>
    <w:uiPriority w:val="99"/>
    <w:unhideWhenUsed/>
    <w:rsid w:val="0055759D"/>
    <w:rPr>
      <w:color w:val="0563C1" w:themeColor="hyperlink"/>
      <w:u w:val="single"/>
    </w:rPr>
  </w:style>
  <w:style w:type="character" w:styleId="UnresolvedMention">
    <w:name w:val="Unresolved Mention"/>
    <w:basedOn w:val="DefaultParagraphFont"/>
    <w:uiPriority w:val="99"/>
    <w:semiHidden/>
    <w:unhideWhenUsed/>
    <w:rsid w:val="0055759D"/>
    <w:rPr>
      <w:color w:val="605E5C"/>
      <w:shd w:val="clear" w:color="auto" w:fill="E1DFDD"/>
    </w:rPr>
  </w:style>
  <w:style w:type="character" w:styleId="FollowedHyperlink">
    <w:name w:val="FollowedHyperlink"/>
    <w:basedOn w:val="DefaultParagraphFont"/>
    <w:uiPriority w:val="99"/>
    <w:semiHidden/>
    <w:unhideWhenUsed/>
    <w:rsid w:val="00240662"/>
    <w:rPr>
      <w:color w:val="954F72" w:themeColor="followedHyperlink"/>
      <w:u w:val="single"/>
    </w:rPr>
  </w:style>
  <w:style w:type="paragraph" w:styleId="Revision">
    <w:name w:val="Revision"/>
    <w:hidden/>
    <w:uiPriority w:val="99"/>
    <w:semiHidden/>
    <w:rsid w:val="007C5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legacy-general-education-gel-goals-and-elo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new-general-education-gen-goals-and-elo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legacy-general-education-gel-goals-and-elos" TargetMode="Externa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2024-02-01T13:11:00Z</dcterms:created>
  <dcterms:modified xsi:type="dcterms:W3CDTF">2024-02-01T13:11:00Z</dcterms:modified>
</cp:coreProperties>
</file>